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B" w:rsidRPr="00CC1C3B" w:rsidRDefault="00CC1C3B" w:rsidP="00CC1C3B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</w:pPr>
      <w:r w:rsidRPr="00CC1C3B"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  <w:t>LEI Nº 1972, DE 30 DE SETEMBRO DE 2003.</w:t>
      </w:r>
    </w:p>
    <w:p w:rsidR="00CC1C3B" w:rsidRPr="00CC1C3B" w:rsidRDefault="00CC1C3B" w:rsidP="00CC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CC1C3B" w:rsidRPr="00CC1C3B" w:rsidRDefault="00CC1C3B" w:rsidP="00CC1C3B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30"/>
          <w:szCs w:val="30"/>
          <w:lang w:eastAsia="pt-BR"/>
        </w:rPr>
      </w:pPr>
      <w:r w:rsidRPr="00CC1C3B">
        <w:rPr>
          <w:rFonts w:ascii="Myriad Pro Semibold" w:eastAsia="Times New Roman" w:hAnsi="Myriad Pro Semibold" w:cs="Times New Roman"/>
          <w:color w:val="333333"/>
          <w:kern w:val="36"/>
          <w:sz w:val="30"/>
          <w:szCs w:val="30"/>
          <w:lang w:eastAsia="pt-BR"/>
        </w:rPr>
        <w:t>CRIA A CONTROLADORIA GERAL DO MUNICÍPIO E DÁ OUTRAS PROVIDÊNCIAS.</w:t>
      </w:r>
    </w:p>
    <w:p w:rsidR="00CC1C3B" w:rsidRPr="00CC1C3B" w:rsidRDefault="00CC1C3B" w:rsidP="00CC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O PREFEITO MUNICIPAL DE PARNAÍBA, ESTADO DO PIAUÍ Faço saber que a Câmara Municipal aprovou e eu sanciono a seguinte Lei: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0" w:name="artigo_1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1º</w:t>
      </w:r>
      <w:bookmarkEnd w:id="0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 Fica criada na estrutura básica do Poder </w:t>
      </w:r>
      <w:proofErr w:type="gram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Executivo a Controladoria Geral do Município, subordinada</w:t>
      </w:r>
      <w:proofErr w:type="gram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diretamente ao Prefeito, com a finalidade de: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exercer o controle contábil, orçamentário, operacional e patrimonial das entidades da administração municipal direta, indireta, autarquia e fundacional, quanto à legalidade, legitimidade, economicidade e regularidade da execução da receita e da despesa;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avaliar o cumprimento das metas previstas no plano plurianual, da execução de programas de governo e dos orçamentos do Município;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apresentar ao Chefe do Poder Executivo relatório das atividades desenvolvidas;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emitir certificado de auditoria sobre as contas dos gestores públicos;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 - considerar e avaliar a contratação de auditorias externas e independentes da administração municipal, com o objetivo de criar condições indispensáveis para assegurar a eficácia ao controle externo;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 - realizar outras atribuições direta e indiretamente relacionadas ao harmônico desenvolvimento das atividades inerentes ao Sistema de Controle Interno do Poder Executivo.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" w:name="artigo_2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2º</w:t>
      </w:r>
      <w:bookmarkEnd w:id="1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São competências da Controladoria Geral do Município: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efetuar estudos e propor medidas visando promover a integração operacional do Sistema de Controle Interno do Poder Executivo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opinar sobre as interpretações dos atos normativos e os procedimentos relativos às atividades a cargo do Sistema de Controle Interno do Poder Executivo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sugerir procedimentos para promover a integração do Sistema de Controle Interno do Poder Executivo Municipal com outros sistemas da Administração Pública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propor metodologias para avaliação e aperfeiçoamento das atividades do Sistema de Controle Interno do Poder Executivo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 xml:space="preserve">V - efetuar análise e estudos de casos propostos por setores da Administração Municipal com vistas à </w:t>
      </w:r>
      <w:proofErr w:type="gram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solução</w:t>
      </w:r>
      <w:proofErr w:type="gram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problemas relacionados com o Controle Interno do Poder Executivo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 - verificar a consistência dos dados contidos no Relatório de Gestão Fiscal, conforme estabelecido no art. 54 da Lei Complementar nº 101, de 4 de maio de 2000;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VII - elaborar a prestação de contas anual do Prefeito Municipal, a ser encaminhada ao Tribunal de Contas e à Câmara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VIII - verificar a observância dos limites e das condições para realização de operações de crédito e inscrição em Restos a Pagar;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IX - verificar e avaliar a adoção de medidas para o retorno da despesa total com pessoal ao limite de que tratam os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arts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. 22 e 23 da Lei Complementar nº 101, de 2000;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 - verificar a destinação de recursos obtidos com a alienação de ativos, tendo em vista as restrições constitucionais e as da Lei Complementar nº 101, de 2000;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XI - avaliar o cumprimento das metas estabelecidas no Plano Plurianual e na Lei de Diretrizes Orçamentárias;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XII - avaliar a execução dos orçamentos do Município;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XIII - fornecer informações sobre a situação físico-financeira dos projetos e das atividades constantes dos orçamentos do Município;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XIV - apurar os atos ou fatos inquinados de ilegais ou irregulares, praticados por agentes públicos ou privados, na utilização de recursos públicos municipais, dar ciência ao Prefeito e, quando for o caso, comunicar à unidade responsável pela contabilidade, para as providências cabíveis;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XV - Aplicar penalidades, conforme legislação vigente, aos gestores inadimplentes.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" w:name="artigo_3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3º</w:t>
      </w:r>
      <w:bookmarkEnd w:id="2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titular da Controladoria Geral do Município, denominado Controlador Geral, será nomeado pelo Prefeito e deverá satisfazer os seguintes requisitos;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escolaridade universitária completa, inclusive com registro no Conselho Regional de Contabilidade;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idoneidade moral e reputação ilibada;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notórios conhecimentos na área de controle interno e de administração municipal.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3" w:name="artigo_4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4º</w:t>
      </w:r>
      <w:bookmarkEnd w:id="3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Integram a estrutura básica da Controladoria Geral do Município: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Gabinete do Controlador Geral;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Núcleo de Gestão e Finanças;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lastRenderedPageBreak/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III -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Subcontroladoria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Auditoria;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IV -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Subcontroladoria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Contabilidade;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V -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Subcontroladoria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Normas Técnicas e Desenvolvimento de Processos.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4" w:name="artigo_5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5º</w:t>
      </w:r>
      <w:bookmarkEnd w:id="4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Ficam criados na estrutura organizacional da Controladoria Geral do Município os seguintes cargos em comissão de livre nomeação e exoneração: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- 1 (um) cargo de Controlador-Geral, com vencimentos e prerrogativas de Secretário Municipal;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- 1 (um) chefe de Núcleo de Gestão e Finanças (símbolo AE-003);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- 2 (dois) cargos de Assessor de Controle Interno (símbolo AE - 002);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IV - 1 (um) cargo de </w:t>
      </w:r>
      <w:proofErr w:type="spellStart"/>
      <w:proofErr w:type="gram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</w:t>
      </w:r>
      <w:proofErr w:type="spellEnd"/>
      <w:proofErr w:type="gram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proofErr w:type="gram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de</w:t>
      </w:r>
      <w:proofErr w:type="gram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Auditoria (símbolo AE - 002);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V - 1 (um) cargo de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Contabilidade (símbolo AE - 002);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VI - 1 (um) cargo de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Normas Técnicas e Desenvolvimento de Processos (símbolo AE - 002).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5" w:name="artigo_6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6º</w:t>
      </w:r>
      <w:bookmarkEnd w:id="5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Fica criado o quadro técnico, da Controladoria Geral do Município, constituído das seguintes categorias funcionais e respectivos quantitativos: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Técnico de Controle Interno, preenchido por pessoa que tenha, no mínimo, o Terceiro Grau Completo, inclusive registro no Conselho Regional correspondente, com salário base de R$ 800,00 (oitocentos reais) e com 2 (duas) vagas;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Contador, preenchido por pessoa que tenha, no mínimo, o curso superior de Ciências Contábeis, inclusive com o registro no Conselho Regional de Contabilidade, com salário base de R$ 800,00 (oitocentos reais) e com 13 (treze) vagas.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Parágrafo Único - Das 13 (treze) vagas do cargo de Contador que compõem o quadro técnico da Controladoria Geral do Município, 10 (dez) vagas foram criadas pela Lei Municipal nº </w:t>
      </w:r>
      <w:hyperlink r:id="rId5" w:history="1">
        <w:r w:rsidRPr="00CC1C3B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1.902</w:t>
        </w:r>
      </w:hyperlink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24 de janeiro de 2003, e 3 (três) vagas ficam criadas por esta Lei.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6" w:name="artigo_7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7º</w:t>
      </w:r>
      <w:bookmarkEnd w:id="6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São atribuições dos Cargos que compõem o quadro técnico da Controladoria Geral do Município: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avaliar os controles orçamentários, contábil, financeiro e operacional;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estabelecer métodos e procedimentos de controles a serem adotados pelo município para proteção de seu patrimônio;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realizar estudos e pesquisas sobre os pontos críticos do controle interno de responsabilidade decorrente da ação administrativa;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lastRenderedPageBreak/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verificações físicas de bens patrimoniais bem como a identificação de fraudes e desperdícios decorrentes da ação administrativa.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7" w:name="artigo_8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8º</w:t>
      </w:r>
      <w:bookmarkEnd w:id="7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 Os cargos efetivos da Controladoria Geral do Município, criados na forma do artigo 5º, </w:t>
      </w:r>
      <w:proofErr w:type="gram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serão preenchidos</w:t>
      </w:r>
      <w:proofErr w:type="gram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através de aprovação em concurso público de provas ou de provas e títulos.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8" w:name="artigo_9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9º</w:t>
      </w:r>
      <w:bookmarkEnd w:id="8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 Controladoria Geral do Município é o órgão central do Sistema de Controle Interno do Poder Executivo Municipal.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9" w:name="artigo_10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10</w:t>
      </w:r>
      <w:bookmarkEnd w:id="9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Ficam transferidos do Departamento de Contabilidade, da Secretaria Municipal de Finanças, e o dos Departamentos de Auditoria e de Normas Técnicas do Controle Interno, da Secretaria Municipal de Planejamento Orçamento e Controle Geral, para Controladoria Geral do Município o acervo, saldo das dotações orçamentárias e patrimônio.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0" w:name="artigo_11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11</w:t>
      </w:r>
      <w:bookmarkEnd w:id="10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 Ficam extintos, com a finalidade de compensar o aumento de despesa decorrente da criação de 2 (dois) cargos de assessor de Controle Interno, de 1 (um) cargo de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Auditoria, de 1 (um) cargo de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Contabilidade e de 1 (um) cargo de </w:t>
      </w:r>
      <w:proofErr w:type="spell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Subcontrolador</w:t>
      </w:r>
      <w:proofErr w:type="spell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Normas Técnicas e Desenvolvimento de Processos os seguintes cargos: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o Departamento de Controle Contábil, da Secretaria Municipal de Educação, criado pela Lei nº </w:t>
      </w:r>
      <w:hyperlink r:id="rId6" w:history="1">
        <w:r w:rsidRPr="00CC1C3B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1.768</w:t>
        </w:r>
      </w:hyperlink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14 de fevereiro de 2001;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o Departamento do Controle Contábil, da Secretaria Municipal de Saúde, criado pela Lei nº </w:t>
      </w:r>
      <w:hyperlink r:id="rId7" w:history="1">
        <w:r w:rsidRPr="00CC1C3B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1.768</w:t>
        </w:r>
      </w:hyperlink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14 de fevereiro de 2001;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III - Departamento de Contabilidade, da Secretaria Municipal de Finanças, criado pela Lei </w:t>
      </w:r>
      <w:proofErr w:type="gramStart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nº</w:t>
      </w:r>
      <w:proofErr w:type="gramEnd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</w:t>
      </w:r>
      <w:hyperlink r:id="rId8" w:history="1">
        <w:r w:rsidRPr="00CC1C3B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1.766</w:t>
        </w:r>
      </w:hyperlink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5 de janeiro de 2001;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o Departamento de Auditoria, da Secretaria Municipal de Planejamento Orçamento e Controle Geral, criado pela Lei nº </w:t>
      </w:r>
      <w:hyperlink r:id="rId9" w:history="1">
        <w:r w:rsidRPr="00CC1C3B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1.766</w:t>
        </w:r>
      </w:hyperlink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5 de janeiro de 2001;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 - o Departamento de Normas Técnicas de Controle Interno, da Secretaria Municipal de Planejamento, Orçamento e Controle Geral, criado pela Lei nº </w:t>
      </w:r>
      <w:hyperlink r:id="rId10" w:history="1">
        <w:r w:rsidRPr="00CC1C3B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1.922</w:t>
        </w:r>
      </w:hyperlink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11 de abril de 2003.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1" w:name="artigo_12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12</w:t>
      </w:r>
      <w:bookmarkEnd w:id="11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Poder Executivo disporá, em regulamento, sobre a competência e atribuições das unidades administrativas da Controladoria Geral do Município.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2" w:name="artigo_13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13</w:t>
      </w:r>
      <w:bookmarkEnd w:id="12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Fica o Poder Executivo autorizado a remanejar, transpor, transferir ou utilizar as dotações, aprovadas na Lei Orçamentária de 2003, em favor dos órgãos extintos e transformados por esta Lei, mantida a mesma classificação de despesa contida na Lei de Diretrizes Orçamentárias para o exercício de 2003.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3" w:name="artigo_14"/>
      <w:r w:rsidRPr="00CC1C3B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14</w:t>
      </w:r>
      <w:bookmarkEnd w:id="13"/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Esta Lei entra em vigor na data de sua publicação, revogadas as disposições em contrário.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>Gabinete do Prefeito Municipal de Parnaíba, Estado do Piauí, 30 de Setembro de 2003.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PAULO EUDES CARNEIRO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Prefeito Municipal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ANEXO I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CARGO EM COMISSÃO</w:t>
      </w:r>
    </w:p>
    <w:p w:rsidR="00CC1C3B" w:rsidRPr="00CC1C3B" w:rsidRDefault="00CC1C3B" w:rsidP="00CC1C3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</w:pP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 xml:space="preserve"> _______________________________________________________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      DENOMINAÇÃO      |QUANTIDADE| SÍMBOLO|VALOR (R$)|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|========================|==========|========|==========|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|Controlador Geral       |        01|-       |         -|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|------------------------|----------|--------|----------|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|Assessoria</w:t>
      </w:r>
      <w:proofErr w:type="gramStart"/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 xml:space="preserve">  </w:t>
      </w:r>
      <w:proofErr w:type="gramEnd"/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>de  Controle|        02|Especial|    880,81|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|Interno                 |          |        |          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|________________________|__________|________|__________|expandir tabela</w:t>
      </w:r>
    </w:p>
    <w:p w:rsidR="00CC1C3B" w:rsidRPr="00CC1C3B" w:rsidRDefault="00CC1C3B" w:rsidP="00CC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ANEXO II</w:t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CC1C3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CARGOS EFETIVOS</w:t>
      </w:r>
    </w:p>
    <w:p w:rsidR="00CC1C3B" w:rsidRPr="00CC1C3B" w:rsidRDefault="00CC1C3B" w:rsidP="00CC1C3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</w:pP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 xml:space="preserve"> _________________________________________________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       DENOMINAÇÃO        |QUANTIDADE|VALOR (R$)|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|===========================|==========|==========|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|Técnico de Controle Interno|01        |350,00</w:t>
      </w:r>
      <w:proofErr w:type="gramStart"/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 xml:space="preserve">    </w:t>
      </w:r>
      <w:proofErr w:type="gramEnd"/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>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|---------------------------|----------|----------|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|Técnico em Contabilidade   |02        |350,00    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|---------------------------|----------|----------|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|Contador                   |01        |880,81    |</w:t>
      </w:r>
      <w:r w:rsidRPr="00CC1C3B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|___________________________|__________|__________|expandir tabela</w:t>
      </w:r>
    </w:p>
    <w:p w:rsidR="00CA04F5" w:rsidRDefault="00CC1C3B">
      <w:bookmarkStart w:id="14" w:name="_GoBack"/>
      <w:bookmarkEnd w:id="14"/>
    </w:p>
    <w:sectPr w:rsidR="00CA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B"/>
    <w:rsid w:val="0036641C"/>
    <w:rsid w:val="00CC1C3B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1C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1C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CC1C3B"/>
  </w:style>
  <w:style w:type="character" w:customStyle="1" w:styleId="apple-converted-space">
    <w:name w:val="apple-converted-space"/>
    <w:basedOn w:val="Fontepargpadro"/>
    <w:rsid w:val="00CC1C3B"/>
  </w:style>
  <w:style w:type="character" w:styleId="Hyperlink">
    <w:name w:val="Hyperlink"/>
    <w:basedOn w:val="Fontepargpadro"/>
    <w:uiPriority w:val="99"/>
    <w:semiHidden/>
    <w:unhideWhenUsed/>
    <w:rsid w:val="00CC1C3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1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1C3B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1C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1C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CC1C3B"/>
  </w:style>
  <w:style w:type="character" w:customStyle="1" w:styleId="apple-converted-space">
    <w:name w:val="apple-converted-space"/>
    <w:basedOn w:val="Fontepargpadro"/>
    <w:rsid w:val="00CC1C3B"/>
  </w:style>
  <w:style w:type="character" w:styleId="Hyperlink">
    <w:name w:val="Hyperlink"/>
    <w:basedOn w:val="Fontepargpadro"/>
    <w:uiPriority w:val="99"/>
    <w:semiHidden/>
    <w:unhideWhenUsed/>
    <w:rsid w:val="00CC1C3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1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1C3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pi/p/parnaiba/lei-ordinaria/2001/176/1766/lei-ordinaria-n-1766-2001-dispoe-sobre-a-reforma-e-a-reorganizacao-administrativa-do-municipio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pi/p/parnaiba/lei-ordinaria/2001/176/1768/lei-ordinaria-n-1768-2001-dispoe-sobre-a-reestruturacao-dos-niveis-de-remuneracao-dos-cargos-de-provimento-em-comissao-e-reorganizacao-administrativa-do-municipi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i/p/parnaiba/lei-ordinaria/2001/176/1768/lei-ordinaria-n-1768-2001-dispoe-sobre-a-reestruturacao-dos-niveis-de-remuneracao-dos-cargos-de-provimento-em-comissao-e-reorganizacao-administrativa-do-municip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ismunicipais.com.br/a/pi/p/parnaiba/lei-ordinaria/2003/190/1902/lei-ordinaria-n-1902-2003-dispoe-sobre-a-extincao-de-cargos-dentro-da-estrutura-organizacional-da-prefeitura-municipal-cria-o-cargo-de-agente-administrativo-niveis-fundamental-medio-e-superior-e-da-outras-providencias" TargetMode="External"/><Relationship Id="rId10" Type="http://schemas.openxmlformats.org/officeDocument/2006/relationships/hyperlink" Target="https://leismunicipais.com.br/a/pi/p/parnaiba/lei-ordinaria/2003/192/1922/lei-ordinaria-n-1922-2003-altera-a-estrutura-administrativa-da-prefeitura-de-parnaiba-e-da-outras-providenc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pi/p/parnaiba/lei-ordinaria/2001/176/1766/lei-ordinaria-n-1766-2001-dispoe-sobre-a-reforma-e-a-reorganizacao-administrativa-do-municipio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Sueli Leite Araujo Barreto</dc:creator>
  <cp:lastModifiedBy>Renata Sueli Leite Araujo Barreto</cp:lastModifiedBy>
  <cp:revision>1</cp:revision>
  <dcterms:created xsi:type="dcterms:W3CDTF">2018-01-29T15:32:00Z</dcterms:created>
  <dcterms:modified xsi:type="dcterms:W3CDTF">2018-01-29T15:33:00Z</dcterms:modified>
</cp:coreProperties>
</file>