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9" w:rsidRPr="00800A19" w:rsidRDefault="00800A19" w:rsidP="00800A1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333333"/>
          <w:sz w:val="30"/>
          <w:szCs w:val="30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30"/>
          <w:szCs w:val="30"/>
          <w:lang w:eastAsia="pt-BR"/>
        </w:rPr>
        <w:t xml:space="preserve">LEI Nº 1511, 24 DE AGOSTO DE </w:t>
      </w:r>
      <w:proofErr w:type="gramStart"/>
      <w:r w:rsidRPr="00800A19">
        <w:rPr>
          <w:rFonts w:ascii="Calibri" w:eastAsia="Times New Roman" w:hAnsi="Calibri" w:cs="Times New Roman"/>
          <w:color w:val="333333"/>
          <w:sz w:val="30"/>
          <w:szCs w:val="30"/>
          <w:lang w:eastAsia="pt-BR"/>
        </w:rPr>
        <w:t>2015</w:t>
      </w:r>
      <w:proofErr w:type="gramEnd"/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before="300" w:after="375" w:line="240" w:lineRule="auto"/>
        <w:ind w:left="4500" w:right="300"/>
        <w:outlineLvl w:val="0"/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</w:pPr>
      <w:r w:rsidRPr="00800A19"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  <w:t>DISPÕE SOBRE A ALTERAÇÃO DO SISTEMA DE CONTROLE INTERNO MUNICIPAL, CRIADO PELA LEI Nº </w:t>
      </w:r>
      <w:hyperlink r:id="rId5" w:history="1">
        <w:r w:rsidRPr="00800A19">
          <w:rPr>
            <w:rFonts w:ascii="Calibri" w:eastAsia="Times New Roman" w:hAnsi="Calibri" w:cs="Times New Roman"/>
            <w:b/>
            <w:bCs/>
            <w:color w:val="A28329"/>
            <w:kern w:val="36"/>
            <w:sz w:val="30"/>
            <w:szCs w:val="30"/>
            <w:u w:val="single"/>
            <w:lang w:eastAsia="pt-BR"/>
          </w:rPr>
          <w:t>1095</w:t>
        </w:r>
      </w:hyperlink>
      <w:r w:rsidRPr="00800A19"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  <w:t>/2007, ALTERADO PELA LEI </w:t>
      </w:r>
      <w:hyperlink r:id="rId6" w:history="1">
        <w:r w:rsidRPr="00800A19">
          <w:rPr>
            <w:rFonts w:ascii="Calibri" w:eastAsia="Times New Roman" w:hAnsi="Calibri" w:cs="Times New Roman"/>
            <w:b/>
            <w:bCs/>
            <w:color w:val="A28329"/>
            <w:kern w:val="36"/>
            <w:sz w:val="30"/>
            <w:szCs w:val="30"/>
            <w:u w:val="single"/>
            <w:lang w:eastAsia="pt-BR"/>
          </w:rPr>
          <w:t>1494</w:t>
        </w:r>
      </w:hyperlink>
      <w:r w:rsidRPr="00800A19"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  <w:t>/2015, NOS TERMOS DO ART. 31 DA CONSTITUIÇÃO FEDERAL, E DO ART. 59, DA LEI COMPLEMENTAR Nº 101/2000.</w:t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I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DAS DISPOSIÇÕES PRELIMINARES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0" w:name="artigo_1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1º</w:t>
      </w:r>
      <w:bookmarkEnd w:id="0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Esta lei estabelece normas gerais sobre a fiscalização do Município, organizada sob a forma de Sistema de Controle Interno Municipal, especialmente nos termos do Art. 31, da Constituição Federal, e do Art. 59, da Lei Complementar nº 101/00 e tomará por base a escrituração, demonstrações contábeis, relatórios de execução e acompanhamento de projetos, atividades e outros procedimentos com instrumentos estabelecidos pela legislação em vigor ou de órgãos de controle interno e externo.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" w:name="artigo_2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2º</w:t>
      </w:r>
      <w:bookmarkEnd w:id="1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Para os fins desta lei, considera-se: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 - Controle Interno: conjunto de recursos, métodos e processos adotados pela própria gerência do setor público, com a finalidade de comprovar fatos, impedir erros, fraudes e ineficiência;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 - Sistema de Controle Interno: conjunto de unidades técnicas, articuladas a partir de uma atividade central de coordenação, orientadas para o desempenho das atribuições de controle interno.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proofErr w:type="gramEnd"/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II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 FISCALIZAÇÃO MUNICIPAL E SUA ABRANGÊNCIA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lastRenderedPageBreak/>
        <w:br/>
      </w:r>
      <w:bookmarkStart w:id="2" w:name="artigo_3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3º</w:t>
      </w:r>
      <w:bookmarkEnd w:id="2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A fiscalização do Município será exercida pelo sistema de controle interno, com atuação prévia, concomitante e posterior aos atos administrativos, objetivará a avaliação da ação governamental e da gestão fiscal dos administradores, por intermédio da fiscalização contábil, financeira, orçamentária, operacional e patrimonial, quanto à legalidade, legitimidade e economicidade, aplicação das subvenções, renúncia de receitas e convênios firmados.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3" w:name="artigo_4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4º</w:t>
      </w:r>
      <w:bookmarkEnd w:id="3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Todos os órgãos e os agentes públicos dos Poderes Executivo (Administração Direta e Indireta) e Legislativo, integram o Sistema de Controle Interno Municipal.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proofErr w:type="gramEnd"/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III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 CRIAÇÃO DA CONTROLADORIA INTERNA E SUA FINALIDADE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4" w:name="artigo_5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5º</w:t>
      </w:r>
      <w:bookmarkEnd w:id="4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Fica criada a CONTROLADORIA INTERNA do Município - CIM, com o objetivo de executar as atividades de controle com atuação no Poder Executivo e Legislativo, com a finalidade de: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 - verificar a regularidade da programação orçamentária e financeira, avaliando o cumprimento das metas previstas no plano plurianual, a execução dos programas de governo e do orçamento do Município;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 - comprovar a legalidade e avaliar os resultados, quanto à eficácia, eficiência, economicidade e efetividade da gestão orçamentária, financeira e patrimonial nos órgãos e entidades da Administração direta e indireta municipal, bem como, da aplicação de recursos públicos por entidades de direito privado;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III - exercer o controle das operações de crédito, avais e garantias, bem como, dos direitos e deveres do Município;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IV - apoiar o controle externo no exercício de sua missão institucional;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V - examinar a escrituração contábil e a documentação a ela correspondente;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VI - examinar as fases de execução das despesas, inclusive verificando a regularidade das licitações e contratos, sob os aspectos de legalidade, legitimidade, economicidade e razoabilidade;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VII - exercer o controle sobre a execução da receita bem como as operações de crédito, emissão de títulos e verificação dos depósitos de cauções e fianças;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VIII - exercer o controle sobre os créditos adicionais bem como a conta "restos a pagar", e "despesas de exercícios anteriores".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IX - acompanhar a contabilização dos recursos provenientes de celebração de 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convênios com análise das despesas correspondentes, na forma do inciso V deste artigo;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X - supervisionar as medidas adotadas pelos Poderes Executivo e Legislativo para o retorno da despesa total com pessoal ao respectivo limite, nos termos dos artigos 22 e 23 da Lei Complementar nº 101/00, caso haja necessidade;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XI - realizar o controle dos limites e das condições para a inscrição de Restos a Pagar, processados ou não;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XII - realizar o controle da destinação de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recursos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obtidos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com a alienação de ativos, de acordo com as restrições impostas pela Lei Complementar 101/00,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XIII - controlar o alcance das metas fiscais dos resultados primário e nominal;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XIV - acompanhar os índices fixados para a educação e a saúde, estabelecidos pelas Emendas Constitucionais </w:t>
      </w:r>
      <w:proofErr w:type="spell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nºs</w:t>
      </w:r>
      <w:proofErr w:type="spell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14/98 e 29/00, respectivamente;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XV - acompanhar, para fins de posterior registro no Tribunal de Contas do Estado, os atos de admissão de pessoal, a qualquer título, na administração direta e indireta Municipal, incluídas as fundações instituídas ou mantidas pelo Poder Público Municipal, excetuadas as nomeações para cargo de provimento em comissão e designações para função gratificada;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XVI - realizar outras atividades de manutenção e aperfeiçoamento do sistema de controle interno, inclusive quando de edição de leis, regulamentos e orientações.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IV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 ESTRUTURA DO CONTROLE INTERNO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5" w:name="artigo_6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6º</w:t>
      </w:r>
      <w:bookmarkEnd w:id="5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A Controladoria Interna Municipal - CIM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, deverá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contar com infraestrutura adequada ao desenvolvimento dos trabalhos, visando contribuir para que a Administração atinja os objetivos e as metas estabelecidas, através da precisão e da confiabilidade dos registros dos atos e fatos da gestão.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6" w:name="artigo_7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7º</w:t>
      </w:r>
      <w:bookmarkEnd w:id="6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A Controladoria será chefiada por um CONTROLADOR INTERNO, e se manifestará por meio de relatórios, auditorias, inspeções, pareceres e outros pronunciamentos voltados a identificar e sanar as possíveis irregularidades.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7" w:name="artigo_8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8º</w:t>
      </w:r>
      <w:bookmarkEnd w:id="7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Como forma de ampliar e integrar a fiscalização do Sistema de Controle Interno, fica criada a equipe de apoio ao Controle Interno. Que terá a seguinte estrutura: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a) Auxiliar de Controle Interno: Servidor efetivo e estável, com atribuições ampliadas, designado com função gratificada, nível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1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faixa A, para auxiliar o Controlador Interno, especificamente na Secretaria Municipal de Saúde;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b) Auxiliar de Controle Interno: Servidor efetivo e estável, com atribuições ampliadas, designado com função gratificada, nível 1 faixa A, para auxiliar o Controlador Interno, nas demais secretarias, conforme for necessário.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c) Auxiliar de Controle Interno do Poder Legislativo: Servidor efetivo e estável, com atribuições ampliadas, designado pelo Presidente do Legislativo, com função gratificada, nível 1 faixa A, para fins de auxiliar o Controlador Interno, especificamente junto ao Poder Legislativo Municipal.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8" w:name="artigo_9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9º</w:t>
      </w:r>
      <w:bookmarkEnd w:id="8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 Controlador Interno, bem como, os Auxiliares de Controle Interno, com a sua supervisão, terão acesso a todas as informações, documentos e outros elementos inerentes ao exercício de sua função, por força das quais deverão zelar pela guarda e integridade dos dados e informações, pela preservação do sigilo das informações acessadas, bem como pela motivação estritamente funcional para acesso e uso de tais elementos informativos.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9" w:name="artigo_10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10</w:t>
      </w:r>
      <w:bookmarkEnd w:id="9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No desempenho de suas atribuições constitucionais e as previstas nesta Lei, o Responsável pela Controladoria Interna poderá emitir instruções normativas, de observância obrigatória nos Poderes Executivo e Legislativo desta municipalidade, com a finalidade de estabelecer a padronização sobre a forma de controle interno e esclarecer as dúvidas existentes.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V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 APURAÇÃO DE IRREGULARIDADES E RESPONSABILIDADES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0" w:name="artigo_11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11</w:t>
      </w:r>
      <w:bookmarkEnd w:id="10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Verificada a ilegalidade de ato(s) ou contrato(s), os Auxiliares de Controle Interno, de imediato darão ciência ao Controlador Interno, que repassará ao responsável, a fim de que o mesmo adote as providências e esclarecimentos necessários ao exato cumprimento da Lei, fazendo indicação expressa dos dispositivos a serem observados.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1º Não havendo a regularização relativa a irregularidades ou ilegalidades, ou não sendo os esclarecimentos apresentados como suficientes para elidi-las, o fato será documentado e levado ao conhecimento do Prefeito Municipal ou Presidente da Câmara e arquivado, ficando à disposição do Tribunal de Contas do Estado.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§ 2º Em caso da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não-tomada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de providências pelo Prefeito Municipal, ou Presidente da Câmara para a regularização da situação apontada, em 90 (noventa) dias, a CIM comunicará o fato ao Tribunal de Contas do Estado do Paraná, nos termos de disciplinamento próprio editado pelo Tribunal de Contas, sob pena de responsabilização solidária.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VI</w:t>
      </w:r>
      <w:proofErr w:type="gramEnd"/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DO RELATÓRIO DE ATIVIDADES DA CONTROLADORIA INTERNA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lastRenderedPageBreak/>
        <w:br/>
      </w:r>
      <w:bookmarkStart w:id="11" w:name="artigo_12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12</w:t>
      </w:r>
      <w:bookmarkEnd w:id="11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 O Controlador Interno deverá encaminhar a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cada 06 (seis) meses relatório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geral de atividades ao Exmo.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Sr.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Prefeito e ao Exmo.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Sr.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Presidente da Câmara de Vereadores.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VII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DO RECRUTAMENTO, INSTITUIÇÃO DE FUNÇÃO DE CONFIANÇA E LOTAÇÃO DE SERVIDORES NA EQUIPE DE APOIO AO CONTROLE INTERNO</w:t>
      </w:r>
      <w:proofErr w:type="gramStart"/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  <w:proofErr w:type="gramEnd"/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2" w:name="artigo_13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13</w:t>
      </w:r>
      <w:bookmarkEnd w:id="12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 cargo de Controlador Interno Municipal e respectiva vaga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, passa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integrar o Anexo II do Quadro de Cargos de provimento em comissão, da Lei nº </w:t>
      </w:r>
      <w:hyperlink r:id="rId7" w:history="1">
        <w:r w:rsidRPr="00800A19">
          <w:rPr>
            <w:rFonts w:ascii="Calibri" w:eastAsia="Times New Roman" w:hAnsi="Calibri" w:cs="Times New Roman"/>
            <w:b/>
            <w:bCs/>
            <w:color w:val="A28329"/>
            <w:sz w:val="24"/>
            <w:szCs w:val="24"/>
            <w:u w:val="single"/>
            <w:shd w:val="clear" w:color="auto" w:fill="FFFFFF"/>
            <w:lang w:eastAsia="pt-BR"/>
          </w:rPr>
          <w:t>1486</w:t>
        </w:r>
      </w:hyperlink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/2014, de 10 de dezembro de 2014.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1º A designação da Função de Confiança de que trata este artigo caberá unicamente ao Chefe do Poder Executivo Municipal, dentre os servidores de provimento efetivo com formação superior e registro no Conselho da Classe, em Ciências Contábeis, Direito, Administração ou Economia.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2º Não poderão ser designados para o exercício do cargo de Controlador Interno, pessoas que: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 - Tiverem sofrido penalização administrativa, civil ou penal transitada em julgado;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3" w:name="artigo_14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14</w:t>
      </w:r>
      <w:bookmarkEnd w:id="13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Os funcionários designados para atuarem junto a EQUIPE DE APOIO AO CONTROLE INTERNO, continuarão exercendo suas funções normalmente. Com a orientação de seu superior, deverão ter conhecimento sobre as instruções normativas que competem a sua área de atuação, realizar as verificações mínimas exigidas e elaborar um relatório bimestral, este, deverá ser protocolado junto ao setor de protocolos da Prefeitura Municipal, até o 10º dia útil do mês subsequente ao relatório. O funcionário que não realizar as verificações e não entregar o relatório poderá ser destituído do cargo. A tolerância será de no máximo dois relatórios atrasados.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1º A designação da Função Gratificada do Auxiliar de Controle Interno do Poder Legislativo, caberá ao Presidente da Câmara Municipal.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2º A designação das Funções Gratificadas dos Auxiliares de Controle Interno no Poder Executivo, caberão ao Prefeito Municipal, conforme a necessidade do Controlador Interno.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3º As atribuições do cargo de Auxiliar de Controle Interno, e as verificações que cada funcionário deverá fazer, serão regulamentadas através de Instrução Normativa.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proofErr w:type="gramEnd"/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VIII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lastRenderedPageBreak/>
        <w:t>DAS GARANTIAS DOS INTEGRANTES DA CONTROLADORIA INTERNA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4" w:name="artigo_15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15</w:t>
      </w:r>
      <w:bookmarkEnd w:id="14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Constitui-se em garantias do ocupante da Função de Controlador Interno e dos servidores que integrarem a Controladoria Interna Municipal: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 - independência profissional para o desempenho das atividades na administração direta ou indireta;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 - o acesso a quaisquer documentos, informações e banco de dados indispensáveis e necessários ao exercício das funções de controle interno;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III - a impossibilidade de destituição da função no último ano do mandato do Chefe do Poder Executivo até 30 dias após a data da entrega da prestação de contas do exercício do último ano do mandato.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§ 1º O agente público que, por ação ou omissão, causar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embaraço,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constrangimento ou obstáculo à atuação da Controladoria Interna Municipal no desempenho de suas funções institucionais, ficará sujeito à pena de responsabilidade administrativa, civil e penal.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2º Quando a documentação ou informação prevista no inciso II deste artigo envolver assuntos de caráter sigiloso, a CIM deverá dispensar tratamento especial de acordo com o estabelecido pelo Chefe do Poder Executivo ou Presidente do Legislativo.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3º O servidor lotado na CIM deverá guardar sigilo sobre dados e informações pertinentes aos assuntos a que tiver acesso em decorrência do exercício de suas funções, utilizando-os, exclusivamente, para a elaboração de pareceres e relatórios destinados à autoridade competente, sob pena de responsabilidade.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5" w:name="artigo_16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16</w:t>
      </w:r>
      <w:bookmarkEnd w:id="15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Além do Prefeito o Controlador Interno Municipal assinará conjuntamente com o Responsável pela Contabilidade o Relatório de Gestão Fiscal, de acordo com o Art. 54, da Lei 101/00, (Lei de Responsabilidade Fiscal).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6" w:name="artigo_17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17</w:t>
      </w:r>
      <w:bookmarkEnd w:id="16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 Controlador Interno fica autorizado a regulamentar as ações e atividades da CIM, através de instruções ou orientações normativas que disciplinem a forma de sua atuação e demais orientações.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800A19" w:rsidRPr="00800A19" w:rsidRDefault="00800A19" w:rsidP="00800A1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  <w:t>Capítulo 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t>IX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  <w:t>DAS DISPOSIÇÕES GERAIS E FINAIS</w:t>
      </w:r>
      <w:r w:rsidRPr="00800A19">
        <w:rPr>
          <w:rFonts w:ascii="Calibri" w:eastAsia="Times New Roman" w:hAnsi="Calibri" w:cs="Times New Roman"/>
          <w:caps/>
          <w:color w:val="333333"/>
          <w:sz w:val="24"/>
          <w:szCs w:val="24"/>
          <w:lang w:eastAsia="pt-BR"/>
        </w:rPr>
        <w:br/>
      </w:r>
    </w:p>
    <w:p w:rsidR="00CA04F5" w:rsidRDefault="00800A19" w:rsidP="00800A19"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7" w:name="artigo_18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18</w:t>
      </w:r>
      <w:bookmarkEnd w:id="17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 Poder Executivo estabelecerá, em regulamento, a forma pela qual, qualquer cidadão, sindicato ou associação, poderá ser informado sobre os dados oficiais do Município, relativos à execução do orçamento.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lastRenderedPageBreak/>
        <w:br/>
      </w:r>
      <w:bookmarkStart w:id="18" w:name="artigo_19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19</w:t>
      </w:r>
      <w:bookmarkEnd w:id="18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Os servidores da CIM deverão ser incentivados a receberem treinamentos específicos e participarão, obrigatoriamente: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 - de qualquer processo de expansão da informatização municipal, com vistas a proceder à otimização dos serviços prestados pelos subsistemas de controle interno;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II - de cursos relacionados à sua área de atuação, no mínimo 01 (uma) vez por ano.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19" w:name="artigo_20"/>
      <w:r w:rsidRPr="00800A19"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20</w:t>
      </w:r>
      <w:bookmarkEnd w:id="19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 Esta Lei entrará em </w:t>
      </w:r>
      <w:proofErr w:type="gramStart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vigor na data de sua publicação, revogadas</w:t>
      </w:r>
      <w:proofErr w:type="gramEnd"/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as disposições em contrário.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Edifício da Prefeitura Municipal de Cruz Machado/PR, em 24 de agosto de 2015.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ANTONIO LUIS SZAYKOWSKI</w:t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 w:rsidRPr="00800A19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Prefeito Municipal </w:t>
      </w:r>
      <w:bookmarkStart w:id="20" w:name="_GoBack"/>
      <w:bookmarkEnd w:id="20"/>
    </w:p>
    <w:sectPr w:rsidR="00CA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9"/>
    <w:rsid w:val="0036641C"/>
    <w:rsid w:val="00800A19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A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A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800A19"/>
  </w:style>
  <w:style w:type="character" w:styleId="Hyperlink">
    <w:name w:val="Hyperlink"/>
    <w:basedOn w:val="Fontepargpadro"/>
    <w:uiPriority w:val="99"/>
    <w:semiHidden/>
    <w:unhideWhenUsed/>
    <w:rsid w:val="00800A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80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A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A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800A19"/>
  </w:style>
  <w:style w:type="character" w:styleId="Hyperlink">
    <w:name w:val="Hyperlink"/>
    <w:basedOn w:val="Fontepargpadro"/>
    <w:uiPriority w:val="99"/>
    <w:semiHidden/>
    <w:unhideWhenUsed/>
    <w:rsid w:val="00800A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80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1/pr/c/cruz-machado/lei-ordinaria/2014/148/1486/lei-ordinaria-n-1486-2014-autoriza-o-chefe-do-poder-executivo-a-estruturar-e-normatizar-a-gestao-de-cargos-em-comissao-e-secretarios-municipais-no-ambito-do-poder-executivo-e-da-outras-providenci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pr/c/cruz-machado/lei-ordinaria/2015/149/1494/lei-ordinaria-n-1494-2015-dispoe-sobre-a-abertura-de-credito-especial-e-contem-outras-providencias" TargetMode="External"/><Relationship Id="rId5" Type="http://schemas.openxmlformats.org/officeDocument/2006/relationships/hyperlink" Target="https://leismunicipais.com.br/a1/pr/c/cruz-machado/lei-ordinaria/2007/109/1095/lei-ordinaria-n-1095-2007-cria-o-sistema-de-controle-interno-do-municipio-de-cruz-machado-cicm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Sueli Leite Araujo Barreto</dc:creator>
  <cp:lastModifiedBy>Renata Sueli Leite Araujo Barreto</cp:lastModifiedBy>
  <cp:revision>1</cp:revision>
  <dcterms:created xsi:type="dcterms:W3CDTF">2018-01-29T15:44:00Z</dcterms:created>
  <dcterms:modified xsi:type="dcterms:W3CDTF">2018-01-29T15:45:00Z</dcterms:modified>
</cp:coreProperties>
</file>