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B4" w:rsidRPr="000548B4" w:rsidRDefault="000548B4" w:rsidP="000548B4">
      <w:pPr>
        <w:shd w:val="clear" w:color="auto" w:fill="FFFFFF"/>
        <w:spacing w:after="150" w:line="300" w:lineRule="atLeast"/>
        <w:jc w:val="center"/>
        <w:outlineLvl w:val="1"/>
        <w:rPr>
          <w:rFonts w:ascii="Arial" w:eastAsia="Times New Roman" w:hAnsi="Arial" w:cs="Arial"/>
          <w:caps/>
          <w:color w:val="333333"/>
          <w:sz w:val="30"/>
          <w:szCs w:val="30"/>
          <w:lang w:eastAsia="pt-BR"/>
        </w:rPr>
      </w:pPr>
      <w:r w:rsidRPr="000548B4">
        <w:rPr>
          <w:rFonts w:ascii="Arial" w:eastAsia="Times New Roman" w:hAnsi="Arial" w:cs="Arial"/>
          <w:caps/>
          <w:color w:val="333333"/>
          <w:sz w:val="30"/>
          <w:szCs w:val="30"/>
          <w:lang w:eastAsia="pt-BR"/>
        </w:rPr>
        <w:t>LEI Nº 6017, DE 11 DE MAIO DE 2016.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hd w:val="clear" w:color="auto" w:fill="FFFFFF"/>
        <w:spacing w:before="300" w:after="300" w:line="300" w:lineRule="atLeast"/>
        <w:ind w:left="3000" w:right="300"/>
        <w:jc w:val="both"/>
        <w:outlineLvl w:val="0"/>
        <w:rPr>
          <w:rFonts w:ascii="Myriad Pro Semibold" w:eastAsia="Times New Roman" w:hAnsi="Myriad Pro Semibold" w:cs="Times New Roman"/>
          <w:color w:val="333333"/>
          <w:kern w:val="36"/>
          <w:sz w:val="30"/>
          <w:szCs w:val="30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333333"/>
          <w:kern w:val="36"/>
          <w:sz w:val="30"/>
          <w:szCs w:val="30"/>
          <w:lang w:eastAsia="pt-BR"/>
        </w:rPr>
        <w:t>Dispõe sobre a Controladoria Geral do Município e sobre o Sistema de Controle Interno Municipal e dá outras providências.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O Prefeito Municipal de Canoas. Faço saber que a Câmara Municipal aprovou e eu sanciono e promulgo a seguinte LEI: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  <w:br/>
        <w:t>Capítulo 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t>I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  <w:t>DISPOSIÇÕES INICIAIS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0" w:name="artigo_1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1º</w:t>
      </w:r>
      <w:bookmarkEnd w:id="0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A presente Lei dispõe sobre a Controladoria Geral do Município (CGM), nos termos da Lei nº </w:t>
      </w:r>
      <w:hyperlink r:id="rId5" w:history="1">
        <w:r w:rsidRPr="000548B4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5.363</w:t>
        </w:r>
      </w:hyperlink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, de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2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janeiro de 2009, e sobre o Sistema de Controle Interno Municipal, visando o aperfeiçoamento da fiscalização, em especial sobre a gestão administrativa, financeira e patrimonial do Município, e a qualificação das medidas de transparência, ouvidoria, auditoria, prestação de contas, prevenção e combate a corrupção e a corregedoria.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" w:name="artigo_2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2º</w:t>
      </w:r>
      <w:bookmarkEnd w:id="1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Para efeitos desta Lei, consideram-se: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Controle Interno: conjunto de recursos, métodos e processos adotados pelas próprias gerências do setor público, com vistas a impedir o erro, a fraude e a ineficiência, visando a dar atendimento aos princípios constitucionais, em especial os da legalidade, impessoalidade, moralidade, publicidade e eficiência;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Sistema de Controle Interno (SCI): conjunto de unidades técnicas, articuladas a partir de um órgão central de coordenação, orientadas para o desempenho das atribuições de controle interno previstas na Constituição e normatizadas pela presente Lei;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Unidade Central de Controle Interno (UCCI), órgão central responsável pela coordenação das atividades do Sistema de Controle Interno;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Parágrafo único. A UCCI, no âmbito do Poder Executivo, é exercida pela Diretoria de Controle Interno, integrante da CGM.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proofErr w:type="gramEnd"/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  <w:br/>
        <w:t>Capítulo 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t>II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  <w:t>DA CONTROLADORIA GERAL DO MUNICÍPIO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lastRenderedPageBreak/>
        <w:br/>
      </w:r>
      <w:bookmarkStart w:id="2" w:name="artigo_3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3º</w:t>
      </w:r>
      <w:bookmarkEnd w:id="2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À CGM compete assistir direta e imediatamente ao Prefeito Municipal no desempenho de suas atribuições quanto aos assuntos e providências que, no âmbito do Poder Executivo, sejam atinentes à defesa do patrimônio público, ao controle interno, à auditoria pública, à prestação de contas, à correição, à prevenção e ao combate à corrupção, às atividades de ouvidoria e ao incremento da transparência da gestão no âmbito da administração pública municipal.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§ 1º A CGM tem como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titular o Controlador Geral do Município, e sua estrutura básica deve observar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a Lei nº</w:t>
      </w:r>
      <w:hyperlink r:id="rId6" w:history="1">
        <w:r w:rsidRPr="000548B4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5.363</w:t>
        </w:r>
      </w:hyperlink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de 2009, e demais atos de regulamentação, considerando a existência do Conselho de Cidadãos pela Transparência (CONCIT) de Canoas/RS, órgão consultivo instituído por Lei específica, bem como a existência da UCCI.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2º O CONCIT é composto conforme previsão contida em Lei Municipal específica.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3" w:name="artigo_4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4º</w:t>
      </w:r>
      <w:bookmarkEnd w:id="3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São competências da CGM: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orientar e expedir atos normativos concernentes à ação do SCI;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supervisionar tecnicamente e fiscalizar as atividades do Sistema;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programar, coordenar, acompanhar e avaliar as ações setoriais;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IV - determinar, acompanhar e avaliar a execução de auditorias;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 - aplicar penalidades, conforme legislação vigente, aos gestores inadimplentes;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 - propor ao Prefeito Municipal o bloqueio de transferência de recursos do tesouro Municipal e de contas bancárias;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VII - determinar, quando necessário, a realização de inspeção ou auditoria ou ainda buscar apoio, junto ao Tribunal de Constas do Estado do Rio Grande do Sul (TCE-RS), sobre a gestão dos recursos públicos municipais sob a responsabilidade de órgãos e entidades públicos e privados;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VIII - regulamentar as atividades de controle através de Instruções Normativas, inclusive quanto às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denúncias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encaminhadas à CGM sobre irregularidades ou ilegalidades na Administração Municipal pelos cidadãos, partidos políticos, organização, associação ou sindicato;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IX - emitir parecer sobre as contas prestadas ou tomadas por órgãos e entidades relativos a recursos públicos repassados pelo Município;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X - verificar as prestações de contas dos recursos públicos recebidos pelo Município;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XI - criar condições para o exercício do controle social sobre os programas contemplados com recursos oriundos dos orçamentos do Município.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XII - exercer outras atividades designadas pelo Prefeito Municipal e que sejam atinentes à 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lastRenderedPageBreak/>
        <w:t>defesa do patrimônio público, ao controle interno, à auditoria pública, à prestação de contas, à correição, à prevenção e ao combate à corrupção, às atividades de ouvidoria e ao incremento da transparência da gestão no âmbito da administração pública municipal.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Parágrafo único. O Relatório de Gestão Fiscal, previsto no art. 54 da Lei Complementar nº 101, de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4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maio de 2000, além do respectivo responsável, Contabilista e do Secretário responsável pela administração financeira, será assinado pelo Controlador Geral do Município.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4" w:name="artigo_5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5º</w:t>
      </w:r>
      <w:bookmarkEnd w:id="4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À CGM, no exercício de sua competência, cabe dar o devido andamento às representações ou denúncias fundamentadas que receber, relativas à lesão ou ameaça de lesão ao patrimônio público municipal, velando por seu integral deslinde.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§ 1º À CGM, por seu titular, sempre que constatar omissão da autoridade competente cumpre requisitar a instauração de sindicância, procedimentos e processos administrativos outros, e avocar aqueles já em curso em órgão ou entidade da Administração Pública Municipal, para </w:t>
      </w:r>
      <w:proofErr w:type="spell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corrigir-lhes</w:t>
      </w:r>
      <w:proofErr w:type="spell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o andamento, inclusive sugerindo a aplicação da penalidade administrativa cabível.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2º Cumpre a CGM, na hipótese do § 1º deste artigo conforme o caso, representar ao Prefeito Municipal para apurar a omissão das autoridades responsáveis.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3º A CGM encaminhará ao Procurador Geral do Município os casos que configurem improbidade administrativa e todos quantos recomendem a indisponibilidade de bens, o ressarcimento ao erário e outras providências a cargo daquele órgão.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5" w:name="artigo_6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6º</w:t>
      </w:r>
      <w:bookmarkEnd w:id="5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O Poder Executivo Municipal poderá por ato próprio atribuir outras competências e dispor sobre o funcionamento da CGM.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SEÇÃO I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DO CONTROLADOR GERAL DO MUNICÍPIO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6" w:name="artigo_7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7º</w:t>
      </w:r>
      <w:bookmarkEnd w:id="6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Ao Controlador Geral do Município, no exercício da sua competência, incumbe, especialmente: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decidir, preliminarmente, sobre as representações ou denúncias fundamentadas que receber, indicando as providências cabíveis;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instaurar os procedimentos e processos administrativos a seu cargo, constituindo as respectivas comissões, bem como requisitar a instauração daqueles que venham sendo injustificadamente retardados pela autoridade responsável;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acompanhar, quando possível, procedimentos e processos administrativos em curso em órgãos ou entidades da Administração Pública Municipal;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IV - realizar inspeções e avocar procedimentos e processos em curso na Administração Pública Municipal, para exame de sua regularidade, propondo a adoção de providências, ou a correção de falhas;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lastRenderedPageBreak/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 - efetivar, ou promover, a declaração da nulidade de procedimento ou processo administrativo, bem como, se for o caso, a imediata e regular apuração dos fatos envolvidos nos autos, e na nulidade declarada;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 - requisitar procedimentos e processos administrativos já arquivados por autoridade da Administração Pública Municipal;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VII - requisitar, a órgão ou entidade da Administração Pública Municipal ou, quando for o caso, propor ao Prefeito Municipal que sejam solicitadas, as informações e os documentos necessários a trabalhos da CGM;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VIII - requisitar aos órgãos e às entidades municipais os servidores e empregados necessários à constituição das comissões objeto do inciso II deste artigo, e de outras análogas, bem como qualquer servidor ou empregado indispensável à instrução do processo;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IX - propor medidas legislativas ou administrativas e sugerir ações necessárias a evitar a repetição de irregularidades constatadas;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X - receber as reclamações relativas à prestação de serviços públicos em geral e promover a apuração do exercício negligente de cargo, emprego ou função na Administração Pública Municipal, quando não houver disposição legal que atribua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competências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específicas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a outros órgãos;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XI - desenvolver outras atribuições de que o incumba o Prefeito Municipal.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7" w:name="artigo_8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8º</w:t>
      </w:r>
      <w:bookmarkEnd w:id="7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O Controlador Geral do Município, titular da CGM, designado pelo Prefeito Municipal, deve ser servidor do quadro efetivo do Município, possuir idoneidade moral e reputação ilibada, e possuir formação completa de nível superior.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Parágrafo único. Não poderão ser designados para o exercício da função de que trata o caput deste artigo os servidores que: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estiverem em estágio probatório;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tiverem sofrido penalização administrativa, civil ou penal transitada em julgado;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exerçam, concomitantemente com a atividade pública, qualquer outra atividade profissional, com exceção a do magistério.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proofErr w:type="gramEnd"/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  <w:br/>
        <w:t>Capítulo 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t>III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  <w:t>DO SISTEMA DE CONTROLE INTERNO (SCI) DO PODER EXECUTIVO MUNICIPAL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8" w:name="artigo_9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9º</w:t>
      </w:r>
      <w:bookmarkEnd w:id="8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 O SCI do Poder Executivo Municipal visa à avaliação da ação governamental e da gestão dos administradores públicos municipais, com as finalidades, atividades, 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lastRenderedPageBreak/>
        <w:t>organização, estrutura e competências estabelecidas nesta Lei e demais regulamentos.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proofErr w:type="gramEnd"/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SEÇÃO I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DAS FINALIDADES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9" w:name="artigo_10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10</w:t>
      </w:r>
      <w:bookmarkEnd w:id="9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São finalidades do SCI: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avaliar o cumprimento das metas previstas no plano plurianual, a execução dos programas de governo e dos orçamentos do Município;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comprovar a legalidade e avaliar os resultados, quanto à eficácia e eficiência, da gestão orçamentária, financeira e patrimonial nos órgãos e entidades da administração municipal, bem como da aplicação de recursos públicos por entidades de direito privado;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exercer o controle das operações de crédito, avais e garantias, bem como dos direitos e haveres do Município;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IV - apoiar o controle externo no exercício de sua missão institucional.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proofErr w:type="gramEnd"/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SEÇÃO II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DAS ATIVIDADES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0" w:name="artigo_11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11</w:t>
      </w:r>
      <w:bookmarkEnd w:id="10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O SCI do Poder Executivo Municipal compreende o conjunto das atividades relacionadas à avaliação do cumprimento das metas previstas no Plano Plurianual, da execução dos programas de governo e dos orçamentos do Município e à avaliação da gestão dos administradores públicos federais, bem como o controle das operações de crédito, avais, garantias, direitos e haveres do Município.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1º A avaliação do cumprimento das metas do Plano Plurianual visa a comprovar a conformidade da sua execução.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2º A avaliação da execução dos programas de governo visa a comprovar o nível de execução das metas, o alcance dos objetivos e a adequação do gerenciamento.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3º A avaliação da execução dos orçamentos do Município visa a comprovar a conformidade da execução com os limites e destinações estabelecidos na legislação pertinente.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4º A avaliação da gestão dos administradores públicos municipais visa a comprovar a legalidade e a legitimidade dos atos e a examinar os resultados quanto à economicidade, à eficiência e à eficácia da gestão orçamentária, financeira, patrimonial, de pessoal e demais sistemas administrativos e operacionais.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5º O controle das operações de crédito, avais, garantias, direitos e haveres do Município visa a aferir a sua consistência e a adequação dos controles internos.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1" w:name="artigo_12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lastRenderedPageBreak/>
        <w:t>Art. 12</w:t>
      </w:r>
      <w:bookmarkEnd w:id="11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O SCI do Poder Executivo Municipal utiliza como técnicas de trabalho, para a consecução de suas finalidades, a auditoria e a fiscalização.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1º A auditoria visa a avaliar a gestão pública, pelos processos e resultados gerenciais, e a aplicação de recursos públicos por entidades de direito privado.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2º A fiscalização visa a comprovar se o objeto dos programas de governo corresponde às especificações estabelecidas, atende às necessidades para as quais foi definido, guarda coerência com as condições e características pretendidas e se os mecanismos de controle são eficientes.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2" w:name="artigo_13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13</w:t>
      </w:r>
      <w:bookmarkEnd w:id="12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 O SCI do Poder Executivo Municipal prestará apoio ao órgão de controle externo no exercício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de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sua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missão institucional.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Parágrafo único. O apoio ao controle externo, sem prejuízo do disposto em legislação específica, consiste no fornecimento de informações e dos resultados das ações do SCI do Poder Executivo Municipal.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3" w:name="artigo_14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14</w:t>
      </w:r>
      <w:bookmarkEnd w:id="13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O SCI do Poder Executivo Municipal prestará orientação aos administradores de bens e recursos públicos nos assuntos pertinentes à área de competência do controle interno, inclusive sobre a forma de prestar contas, conforme disposto no parágrafo único do art. 70 da Constituição Federal.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4" w:name="artigo_15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15</w:t>
      </w:r>
      <w:bookmarkEnd w:id="14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As atividades a cargo do SCI do Poder Executivo Municipal destinam-se, preferencialmente, a subsidiar: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o exercício da direção superior da Administração Pública Municipal, a cargo do Prefeito Municipal e seus secretários;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o aperfeiçoamento da gestão pública, nos aspectos de formulação, planejamento, coordenação, execução e monitoramento das políticas públicas;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os órgãos responsáveis pelo ciclo da gestão governamental, quais sejam, planejamento, orçamento, finanças, contabilidade e administração municipal.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proofErr w:type="gramEnd"/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SEÇÃO III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DA ORGANIZAÇÃO E DA ESTRUTURA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5" w:name="artigo_16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16</w:t>
      </w:r>
      <w:bookmarkEnd w:id="15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Integram o SCI do Poder Executivo Municipal: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a CGM, como órgão incumbido da orientação normativa e da supervisão técnica dos órgãos que compõem o Sistema;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Comissão de Coordenação de Controle Interno (CCCI);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a Unidade Central de Controle Interno, exercida pela Diretoria de Controle Interno, integrante da CGM;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proofErr w:type="gramEnd"/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lastRenderedPageBreak/>
        <w:br/>
        <w:t>SUBSEÇÃO I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DA CONTROLADORIA GERAL DO MUNICÍPIO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6" w:name="artigo_17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17</w:t>
      </w:r>
      <w:bookmarkEnd w:id="16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A CGM possui a estrutura definida conforme previsão contida nas Leis e Decretos que definem a estrutura organizacional e administrativa do Município.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proofErr w:type="gramEnd"/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SUBSEÇÃO II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DA COMISSÃO DE COORDENAÇÃO DE CONTROLE INTERNO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7" w:name="artigo_18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18</w:t>
      </w:r>
      <w:bookmarkEnd w:id="17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A CCCI é órgão colegiado de função consultiva do SCI do Poder Executivo Municipal, sendo composta com os titulares ou representantes por eles designados dos seguintes órgãos: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pela CGM, que a presidirá;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pela Chefia de Gabinete do Prefeito;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pela Procuradoria Geral do Município;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IV - pela Secretaria Municipal da Fazenda;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V -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pelo Secretaria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Municipal de Planejamento e Gestão;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VI - pelo Diretor de Controle Interno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SUBSEÇÃO III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DA UNIDADE CENTRAL DE CONTROLE INTERNO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8" w:name="artigo_19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19</w:t>
      </w:r>
      <w:bookmarkEnd w:id="18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A UCCI, órgão central responsável pela coordenação das atividades de controle interno, é constituída estrutural e organizacionalmente pela estrutura que integra a Diretoria de Controle Interno, constituindo-se das unidades e equipes previstas no Decreto regulamentador da Lei nº </w:t>
      </w:r>
      <w:hyperlink r:id="rId7" w:history="1">
        <w:r w:rsidRPr="000548B4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5.363</w:t>
        </w:r>
      </w:hyperlink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de 2009.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19" w:name="artigo_20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20</w:t>
      </w:r>
      <w:bookmarkEnd w:id="19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A UCCI é composta unicamente por servidores investidos em cargos de provimento efetivo, recrutados entre categorias profissionais distintas.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20" w:name="artigo_21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21</w:t>
      </w:r>
      <w:bookmarkEnd w:id="20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Constitui-se em garantias dos servidores que integram a UCCI: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independência técnica para o desempenho das atividades na administração direta e indireta;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o acesso a documentos e banco de dados indispensáveis ao exercício das funções de Controle Interno Municipal.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Parágrafo único. Quando a documentação ou informação prevista no inciso II deste artigo 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lastRenderedPageBreak/>
        <w:t xml:space="preserve">envolver assuntos de caráter sigiloso deverá ser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dispensado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tratamento especial de acordo com o estabelecido pelo Administrador.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SEÇÃO IV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DAS COMPETÊNCIAS</w:t>
      </w:r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SUBSEÇÃO I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DA COMISSÃO DE CONTROLE INTERNO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21" w:name="artigo_22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22</w:t>
      </w:r>
      <w:bookmarkEnd w:id="21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Compete à CCCI: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efetuar estudos e propor medidas visando promover a integração operacional do SCI do Poder Executivo Municipal;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homogeneizar as interpretações sobre procedimentos relativos às atividades a cargo do SCI do Poder Executivo Municipal;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sugerir procedimentos para promover a integração do SCI do Poder Executivo Municipal com outros sistemas da Administração Pública Municipal;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IV - formular propostas de metodologias para avaliação e aperfeiçoamento das atividades do SCI do Poder Executivo municipal; e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V - efetuar análise e estudo de casos propostos pelo Controlador Geral do Município, com vistas à solução de problemas relacionados com o Controle Interno do Poder Executivo Municipal.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Parágrafo único. As propostas formuladas pela CCCI serão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encaminhados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para análise, aprovação e publicação pelo Controlador Geral do Município.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SUBSEÇÃO II</w:t>
      </w:r>
      <w:r w:rsidRPr="000548B4">
        <w:rPr>
          <w:rFonts w:ascii="Myriad Pro Semibold" w:eastAsia="Times New Roman" w:hAnsi="Myriad Pro Semibold" w:cs="Times New Roman"/>
          <w:color w:val="555555"/>
          <w:sz w:val="23"/>
          <w:szCs w:val="23"/>
          <w:lang w:eastAsia="pt-BR"/>
        </w:rPr>
        <w:br/>
        <w:t>DA UNIDADE CENTRAL DE CONTROLE INTERNO</w:t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22" w:name="artigo_23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23</w:t>
      </w:r>
      <w:bookmarkEnd w:id="22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Entre as atribuições da UCCI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estão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 - quanto às receitas, o exame: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a) das transferências intergovernamentais;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b) do lançamento e da respectiva cobrança de todos os tributos da competência local;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c) da cobrança da dívida ativa e dos títulos executivos emitidos pelo TCE;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d) das operações de crédito, avais e garantias, bem como dos direitos e haveres do Município;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 - quanto às despesas e ao conjunto da gestão: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a) exame da execução da folha de pagamento;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lastRenderedPageBreak/>
        <w:t>b) exame da manutenção da frota de veículos e equipamentos;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c) exame do controle e acompanhamento dos bens patrimoniais;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d) exame dos procedimentos licitatórios e da execução dos contratos em vigor;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e) acompanhamento dos limites dos gastos com pessoal;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f) acompanhamento das despesas com a manutenção e desenvolvimento do ensino e com as ações e serviços públicos de saúde;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g) exame da gestão dos regimes próprios de previdência;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h) exame da legalidade e avaliação dos resultados, quanto à eficácia e eficiência, da gestão orçamentária, financeira e patrimonial nos órgãos e entidades da administração municipal, bem como da aplicação de recursos públicos por entidades do direito privado.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III - quanto às admissões de pessoal: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a) manifestação sobre a legalidade dos atos de admissão de pessoal por concurso, por processo seletivo público e mediante contratação por tempo determinado;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b) manifestação sobre a legalidade dos atos administrativos derivados de pessoal.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1º Os responsáveis pela UCCI, ao tomarem conhecimento de qualquer irregularidade ou ilegalidade, dela darão ciência ao TCE, sob pena de responsabilidade solidária.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§ 2º O Poder Executivo Municipal poderá modificar o rol de competências previstas neste artigo.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  <w:br/>
        <w:t>Capítulo 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t>IV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  <w:t>DA PARTICIPAÇÃO POPULAR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23" w:name="artigo_24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24</w:t>
      </w:r>
      <w:bookmarkEnd w:id="23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Qualquer cidadão, partido político, associação ou sindicato é parte legítima para, na forma da lei, denunciar irregularidade ou ilegalidade perante CGM.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proofErr w:type="gramEnd"/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  <w:br/>
        <w:t>Capítulo 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t>V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  <w:t>DAS DISPOSIÇÕES GERAIS E TRANSITÓRIAS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</w:r>
    </w:p>
    <w:p w:rsidR="000548B4" w:rsidRPr="000548B4" w:rsidRDefault="000548B4" w:rsidP="000548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24" w:name="artigo_25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25</w:t>
      </w:r>
      <w:bookmarkEnd w:id="24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O regimento interno da CCCI será aprovado pelo Controlador Geral do Município, por proposta do colegiado.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proofErr w:type="gramEnd"/>
    </w:p>
    <w:p w:rsidR="000548B4" w:rsidRPr="000548B4" w:rsidRDefault="000548B4" w:rsidP="000548B4">
      <w:pPr>
        <w:shd w:val="clear" w:color="auto" w:fill="FFFFFF"/>
        <w:spacing w:after="0" w:line="338" w:lineRule="atLeast"/>
        <w:jc w:val="center"/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</w:pPr>
      <w:r w:rsidRPr="000548B4"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  <w:br/>
      </w:r>
      <w:proofErr w:type="gramStart"/>
      <w:r w:rsidRPr="000548B4">
        <w:rPr>
          <w:rFonts w:ascii="Calibri" w:eastAsia="Times New Roman" w:hAnsi="Calibri" w:cs="Times New Roman"/>
          <w:color w:val="555555"/>
          <w:sz w:val="23"/>
          <w:szCs w:val="23"/>
          <w:lang w:eastAsia="pt-BR"/>
        </w:rPr>
        <w:t>Capítulo 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t>VI</w:t>
      </w:r>
      <w:proofErr w:type="gramEnd"/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  <w:t>DISPOSIÇÕES FINAIS</w:t>
      </w:r>
      <w:r w:rsidRPr="000548B4">
        <w:rPr>
          <w:rFonts w:ascii="Calibri" w:eastAsia="Times New Roman" w:hAnsi="Calibri" w:cs="Times New Roman"/>
          <w:caps/>
          <w:color w:val="555555"/>
          <w:sz w:val="23"/>
          <w:szCs w:val="23"/>
          <w:lang w:eastAsia="pt-BR"/>
        </w:rPr>
        <w:br/>
      </w:r>
    </w:p>
    <w:p w:rsidR="00CA04F5" w:rsidRDefault="000548B4" w:rsidP="000548B4"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25" w:name="artigo_26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26</w:t>
      </w:r>
      <w:bookmarkEnd w:id="25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 A sistematização do controle interno, na forma estabelecida nesta Lei, não elimina ou prejudica os controles próprios dos sistemas e subsistemas criados no âmbito da Administração Pública Municipal, nem o controle administrativo inerente a cada chefia, 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lastRenderedPageBreak/>
        <w:t>que deve ser exercido em todos os níveis e órgãos.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26" w:name="artigo_27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27</w:t>
      </w:r>
      <w:bookmarkEnd w:id="26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Revoga-se a Lei nº </w:t>
      </w:r>
      <w:hyperlink r:id="rId8" w:history="1">
        <w:r w:rsidRPr="000548B4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5.675</w:t>
        </w:r>
      </w:hyperlink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, de 26 de janeiro de 2012, e o art. 40 da Lei nº </w:t>
      </w:r>
      <w:hyperlink r:id="rId9" w:history="1">
        <w:r w:rsidRPr="000548B4">
          <w:rPr>
            <w:rFonts w:ascii="Calibri" w:eastAsia="Times New Roman" w:hAnsi="Calibri" w:cs="Times New Roman"/>
            <w:color w:val="B94A48"/>
            <w:sz w:val="23"/>
            <w:szCs w:val="23"/>
            <w:u w:val="single"/>
            <w:shd w:val="clear" w:color="auto" w:fill="FFFFFF"/>
            <w:lang w:eastAsia="pt-BR"/>
          </w:rPr>
          <w:t>5.363</w:t>
        </w:r>
      </w:hyperlink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, de </w:t>
      </w:r>
      <w:proofErr w:type="gramStart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2</w:t>
      </w:r>
      <w:proofErr w:type="gramEnd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 xml:space="preserve"> de janeiro de 2009.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bookmarkStart w:id="27" w:name="artigo_28"/>
      <w:r w:rsidRPr="000548B4">
        <w:rPr>
          <w:rFonts w:ascii="Calibri" w:eastAsia="Times New Roman" w:hAnsi="Calibri" w:cs="Times New Roman"/>
          <w:b/>
          <w:bCs/>
          <w:color w:val="FFFFFF"/>
          <w:sz w:val="17"/>
          <w:szCs w:val="17"/>
          <w:shd w:val="clear" w:color="auto" w:fill="D9534F"/>
          <w:lang w:eastAsia="pt-BR"/>
        </w:rPr>
        <w:t>Art. 28</w:t>
      </w:r>
      <w:bookmarkEnd w:id="27"/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 Esta Lei entra em vigor na data de sua publicação.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MUNICÍPIO DE CANOAS, em onze de maio de dois mil e dezesseis (11.5.2016).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Jairo Jorge da Silva</w:t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  <w:r w:rsidRPr="000548B4">
        <w:rPr>
          <w:rFonts w:ascii="Calibri" w:eastAsia="Times New Roman" w:hAnsi="Calibri" w:cs="Times New Roman"/>
          <w:color w:val="333333"/>
          <w:sz w:val="23"/>
          <w:szCs w:val="23"/>
          <w:shd w:val="clear" w:color="auto" w:fill="FFFFFF"/>
          <w:lang w:eastAsia="pt-BR"/>
        </w:rPr>
        <w:t>Prefeito Municipal </w:t>
      </w:r>
      <w:bookmarkStart w:id="28" w:name="_GoBack"/>
      <w:bookmarkEnd w:id="28"/>
    </w:p>
    <w:sectPr w:rsidR="00CA0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B4"/>
    <w:rsid w:val="000548B4"/>
    <w:rsid w:val="0036641C"/>
    <w:rsid w:val="00F7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4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5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48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48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48B4"/>
  </w:style>
  <w:style w:type="character" w:customStyle="1" w:styleId="label">
    <w:name w:val="label"/>
    <w:basedOn w:val="Fontepargpadro"/>
    <w:rsid w:val="000548B4"/>
  </w:style>
  <w:style w:type="character" w:styleId="Hyperlink">
    <w:name w:val="Hyperlink"/>
    <w:basedOn w:val="Fontepargpadro"/>
    <w:uiPriority w:val="99"/>
    <w:semiHidden/>
    <w:unhideWhenUsed/>
    <w:rsid w:val="000548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54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54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54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48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548B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48B4"/>
  </w:style>
  <w:style w:type="character" w:customStyle="1" w:styleId="label">
    <w:name w:val="label"/>
    <w:basedOn w:val="Fontepargpadro"/>
    <w:rsid w:val="000548B4"/>
  </w:style>
  <w:style w:type="character" w:styleId="Hyperlink">
    <w:name w:val="Hyperlink"/>
    <w:basedOn w:val="Fontepargpadro"/>
    <w:uiPriority w:val="99"/>
    <w:semiHidden/>
    <w:unhideWhenUsed/>
    <w:rsid w:val="000548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54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/rs/c/canoas/lei-ordinaria/2012/567/5675/lei-ordinaria-n-5675-2012-institui-o-sistema-de-controle-interno-municipal-nos-termos-do-art-31-da-constituicao-federal-e-art-59-da-lei-complementar-n-101-de-4-de-maio-de-2000-e-da-outras-providenc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rs/c/canoas/lei-ordinaria/2009/536/5363/lei-ordinaria-n-5363-2009-dispoe-sobre-a-estrutura-organizacao-e-funcionamento-do-poder-executivo-municipal-de-canoas-e-da-outras-providencia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/rs/c/canoas/lei-ordinaria/2009/536/5363/lei-ordinaria-n-5363-2009-dispoe-sobre-a-estrutura-organizacao-e-funcionamento-do-poder-executivo-municipal-de-canoas-e-da-outras-providenci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ismunicipais.com.br/a/rs/c/canoas/lei-ordinaria/2009/536/5363/lei-ordinaria-n-5363-2009-dispoe-sobre-a-estrutura-organizacao-e-funcionamento-do-poder-executivo-municipal-de-canoas-e-da-outras-providencia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ismunicipais.com.br/a/rs/c/canoas/lei-ordinaria/2009/536/5363/lei-ordinaria-n-5363-2009-dispoe-sobre-a-estrutura-organizacao-e-funcionamento-do-poder-executivo-municipal-de-canoas-e-da-outras-providenci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3062</Words>
  <Characters>16538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Sueli Leite Araujo Barreto</dc:creator>
  <cp:lastModifiedBy>Renata Sueli Leite Araujo Barreto</cp:lastModifiedBy>
  <cp:revision>1</cp:revision>
  <dcterms:created xsi:type="dcterms:W3CDTF">2018-01-29T15:34:00Z</dcterms:created>
  <dcterms:modified xsi:type="dcterms:W3CDTF">2018-01-29T15:34:00Z</dcterms:modified>
</cp:coreProperties>
</file>